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57846" w14:textId="3883107E" w:rsidR="00484FA5" w:rsidRPr="00D920DF" w:rsidRDefault="00D920DF" w:rsidP="00D920DF">
      <w:pPr>
        <w:jc w:val="center"/>
        <w:rPr>
          <w:b/>
          <w:bCs/>
          <w:sz w:val="28"/>
          <w:szCs w:val="28"/>
          <w:u w:val="single"/>
        </w:rPr>
      </w:pPr>
      <w:r w:rsidRPr="00D920DF">
        <w:rPr>
          <w:b/>
          <w:bCs/>
          <w:sz w:val="28"/>
          <w:szCs w:val="28"/>
          <w:u w:val="single"/>
        </w:rPr>
        <w:t>Frequently Asked Questions</w:t>
      </w:r>
    </w:p>
    <w:p w14:paraId="74E0F83C" w14:textId="77777777" w:rsidR="00D920DF" w:rsidRPr="00D920DF" w:rsidRDefault="00D920DF" w:rsidP="00D920DF">
      <w:pPr>
        <w:rPr>
          <w:sz w:val="20"/>
          <w:szCs w:val="20"/>
        </w:rPr>
      </w:pPr>
      <w:r w:rsidRPr="00D920DF">
        <w:rPr>
          <w:b/>
          <w:bCs/>
          <w:sz w:val="20"/>
          <w:szCs w:val="20"/>
        </w:rPr>
        <w:t>Q1. Is the WOG VI process mandatory? And which projects are eligible to use it?</w:t>
      </w:r>
    </w:p>
    <w:tbl>
      <w:tblPr>
        <w:tblStyle w:val="TableGrid"/>
        <w:tblW w:w="0" w:type="auto"/>
        <w:tblLook w:val="06A0" w:firstRow="1" w:lastRow="0" w:firstColumn="1" w:lastColumn="0" w:noHBand="1" w:noVBand="1"/>
      </w:tblPr>
      <w:tblGrid>
        <w:gridCol w:w="9015"/>
      </w:tblGrid>
      <w:tr w:rsidR="00D920DF" w:rsidRPr="00D920DF" w14:paraId="2B120A54" w14:textId="77777777">
        <w:trPr>
          <w:trHeight w:val="300"/>
        </w:trPr>
        <w:tc>
          <w:tcPr>
            <w:tcW w:w="9015" w:type="dxa"/>
            <w:tcBorders>
              <w:top w:val="single" w:sz="4" w:space="0" w:color="auto"/>
              <w:left w:val="single" w:sz="4" w:space="0" w:color="auto"/>
              <w:bottom w:val="single" w:sz="4" w:space="0" w:color="auto"/>
              <w:right w:val="single" w:sz="4" w:space="0" w:color="auto"/>
            </w:tcBorders>
          </w:tcPr>
          <w:p w14:paraId="75A00BBB" w14:textId="77777777" w:rsidR="00D920DF" w:rsidRPr="00D920DF" w:rsidRDefault="00D920DF" w:rsidP="00D920DF">
            <w:pPr>
              <w:spacing w:after="160" w:line="278" w:lineRule="auto"/>
              <w:rPr>
                <w:sz w:val="20"/>
                <w:szCs w:val="20"/>
              </w:rPr>
            </w:pPr>
            <w:r w:rsidRPr="00D920DF">
              <w:rPr>
                <w:sz w:val="20"/>
                <w:szCs w:val="20"/>
              </w:rPr>
              <w:t>No. The WOG VI process is an alternative to the conventional TOP/CSC physical inspections, and project parties can select between the two based on the needs of their project.</w:t>
            </w:r>
          </w:p>
          <w:p w14:paraId="6E367178" w14:textId="67394097" w:rsidR="00D920DF" w:rsidRPr="00D920DF" w:rsidRDefault="00D920DF" w:rsidP="00D920DF">
            <w:pPr>
              <w:spacing w:after="160" w:line="278" w:lineRule="auto"/>
              <w:rPr>
                <w:sz w:val="20"/>
                <w:szCs w:val="20"/>
              </w:rPr>
            </w:pPr>
            <w:r w:rsidRPr="00D920DF">
              <w:rPr>
                <w:sz w:val="20"/>
                <w:szCs w:val="20"/>
              </w:rPr>
              <w:t xml:space="preserve">The WOG VI process is available to projects across different building typologies, provided that the participating agencies' requirements for virtual inspections can be met.  </w:t>
            </w:r>
          </w:p>
          <w:p w14:paraId="188C83D7" w14:textId="4BD88AA5" w:rsidR="00D920DF" w:rsidRPr="00D920DF" w:rsidRDefault="00D920DF" w:rsidP="00D920DF">
            <w:pPr>
              <w:spacing w:after="160" w:line="278" w:lineRule="auto"/>
              <w:rPr>
                <w:sz w:val="20"/>
                <w:szCs w:val="20"/>
              </w:rPr>
            </w:pPr>
            <w:r w:rsidRPr="00D920DF">
              <w:rPr>
                <w:sz w:val="20"/>
                <w:szCs w:val="20"/>
              </w:rPr>
              <w:t>Qualified Persons (QPs) and project teams are encouraged to evaluate individual project factors such as size and complexity, to determine whether the WOG VI process or conventional TOP/CSC physical inspections are better suited to their project.</w:t>
            </w:r>
          </w:p>
          <w:p w14:paraId="684E9E0B" w14:textId="4D4BBFD2" w:rsidR="00D920DF" w:rsidRPr="00D920DF" w:rsidRDefault="00D920DF" w:rsidP="00D920DF">
            <w:pPr>
              <w:spacing w:after="160" w:line="278" w:lineRule="auto"/>
              <w:rPr>
                <w:sz w:val="20"/>
                <w:szCs w:val="20"/>
              </w:rPr>
            </w:pPr>
            <w:r w:rsidRPr="00D920DF">
              <w:rPr>
                <w:sz w:val="20"/>
                <w:szCs w:val="20"/>
              </w:rPr>
              <w:t>To support project teams, BCA and participating agencies have developed a WOG VI Guidebook, which sets out the VI requirements and other relevant considerations for adopting the WOG VI process.</w:t>
            </w:r>
          </w:p>
        </w:tc>
      </w:tr>
    </w:tbl>
    <w:p w14:paraId="6E22F56E" w14:textId="77777777" w:rsidR="00D920DF" w:rsidRPr="00D920DF" w:rsidRDefault="00D920DF" w:rsidP="00D920DF">
      <w:pPr>
        <w:rPr>
          <w:sz w:val="20"/>
          <w:szCs w:val="20"/>
        </w:rPr>
      </w:pPr>
    </w:p>
    <w:p w14:paraId="4E2E70A6" w14:textId="77777777" w:rsidR="00D920DF" w:rsidRPr="00D920DF" w:rsidRDefault="00D920DF" w:rsidP="00D920DF">
      <w:pPr>
        <w:rPr>
          <w:sz w:val="20"/>
          <w:szCs w:val="20"/>
        </w:rPr>
      </w:pPr>
      <w:r w:rsidRPr="00D920DF">
        <w:rPr>
          <w:b/>
          <w:bCs/>
          <w:sz w:val="20"/>
          <w:szCs w:val="20"/>
        </w:rPr>
        <w:t>Q2. How do I apply for the WOG VI process?</w:t>
      </w:r>
    </w:p>
    <w:tbl>
      <w:tblPr>
        <w:tblStyle w:val="TableGrid"/>
        <w:tblW w:w="0" w:type="auto"/>
        <w:tblLook w:val="06A0" w:firstRow="1" w:lastRow="0" w:firstColumn="1" w:lastColumn="0" w:noHBand="1" w:noVBand="1"/>
      </w:tblPr>
      <w:tblGrid>
        <w:gridCol w:w="9015"/>
      </w:tblGrid>
      <w:tr w:rsidR="00D920DF" w:rsidRPr="00D920DF" w14:paraId="29B42B8F" w14:textId="77777777">
        <w:trPr>
          <w:trHeight w:val="300"/>
        </w:trPr>
        <w:tc>
          <w:tcPr>
            <w:tcW w:w="9015" w:type="dxa"/>
            <w:tcBorders>
              <w:top w:val="single" w:sz="4" w:space="0" w:color="auto"/>
              <w:left w:val="single" w:sz="4" w:space="0" w:color="auto"/>
              <w:bottom w:val="single" w:sz="4" w:space="0" w:color="auto"/>
              <w:right w:val="single" w:sz="4" w:space="0" w:color="auto"/>
            </w:tcBorders>
          </w:tcPr>
          <w:p w14:paraId="4F23C11C" w14:textId="1032F76E" w:rsidR="00D920DF" w:rsidRPr="00D920DF" w:rsidRDefault="00D920DF" w:rsidP="00D920DF">
            <w:pPr>
              <w:spacing w:after="160" w:line="278" w:lineRule="auto"/>
              <w:rPr>
                <w:sz w:val="20"/>
                <w:szCs w:val="20"/>
              </w:rPr>
            </w:pPr>
            <w:r w:rsidRPr="00D920DF">
              <w:rPr>
                <w:sz w:val="20"/>
                <w:szCs w:val="20"/>
              </w:rPr>
              <w:t xml:space="preserve">Project parties who wish to apply for the WOG VI process </w:t>
            </w:r>
            <w:r w:rsidR="00085998">
              <w:rPr>
                <w:sz w:val="20"/>
                <w:szCs w:val="20"/>
              </w:rPr>
              <w:t>can submit the</w:t>
            </w:r>
            <w:r w:rsidR="0054623A">
              <w:rPr>
                <w:sz w:val="20"/>
                <w:szCs w:val="20"/>
              </w:rPr>
              <w:t xml:space="preserve">ir applications at </w:t>
            </w:r>
            <w:hyperlink r:id="rId5" w:history="1">
              <w:r w:rsidR="0054623A" w:rsidRPr="003D7A24">
                <w:rPr>
                  <w:rStyle w:val="Hyperlink"/>
                  <w:sz w:val="20"/>
                  <w:szCs w:val="20"/>
                </w:rPr>
                <w:t>https://go.gov.sg/wogvi</w:t>
              </w:r>
            </w:hyperlink>
            <w:r w:rsidR="0054623A">
              <w:rPr>
                <w:sz w:val="20"/>
                <w:szCs w:val="20"/>
              </w:rPr>
              <w:t xml:space="preserve"> </w:t>
            </w:r>
          </w:p>
        </w:tc>
      </w:tr>
    </w:tbl>
    <w:p w14:paraId="7FF7E55C" w14:textId="77777777" w:rsidR="00D920DF" w:rsidRPr="00D920DF" w:rsidRDefault="00D920DF" w:rsidP="00D920DF">
      <w:pPr>
        <w:rPr>
          <w:sz w:val="20"/>
          <w:szCs w:val="20"/>
        </w:rPr>
      </w:pPr>
    </w:p>
    <w:p w14:paraId="64270783" w14:textId="77777777" w:rsidR="00D920DF" w:rsidRPr="00D920DF" w:rsidRDefault="00D920DF" w:rsidP="00D920DF">
      <w:pPr>
        <w:rPr>
          <w:sz w:val="20"/>
          <w:szCs w:val="20"/>
        </w:rPr>
      </w:pPr>
      <w:r w:rsidRPr="00D920DF">
        <w:rPr>
          <w:b/>
          <w:bCs/>
          <w:sz w:val="20"/>
          <w:szCs w:val="20"/>
        </w:rPr>
        <w:t>Q3. Can I apply for virtual inspections with some agencies and physical inspections with others?</w:t>
      </w:r>
    </w:p>
    <w:tbl>
      <w:tblPr>
        <w:tblStyle w:val="TableGrid"/>
        <w:tblW w:w="0" w:type="auto"/>
        <w:tblLook w:val="06A0" w:firstRow="1" w:lastRow="0" w:firstColumn="1" w:lastColumn="0" w:noHBand="1" w:noVBand="1"/>
      </w:tblPr>
      <w:tblGrid>
        <w:gridCol w:w="9015"/>
      </w:tblGrid>
      <w:tr w:rsidR="00D920DF" w:rsidRPr="00D920DF" w14:paraId="5998265A" w14:textId="77777777">
        <w:trPr>
          <w:trHeight w:val="300"/>
        </w:trPr>
        <w:tc>
          <w:tcPr>
            <w:tcW w:w="9015" w:type="dxa"/>
            <w:tcBorders>
              <w:top w:val="single" w:sz="4" w:space="0" w:color="auto"/>
              <w:left w:val="single" w:sz="4" w:space="0" w:color="auto"/>
              <w:bottom w:val="single" w:sz="4" w:space="0" w:color="auto"/>
              <w:right w:val="single" w:sz="4" w:space="0" w:color="auto"/>
            </w:tcBorders>
          </w:tcPr>
          <w:p w14:paraId="74297990" w14:textId="2C8E5C41" w:rsidR="00D920DF" w:rsidRPr="00D920DF" w:rsidRDefault="00D920DF" w:rsidP="00D920DF">
            <w:pPr>
              <w:spacing w:after="160" w:line="278" w:lineRule="auto"/>
              <w:rPr>
                <w:sz w:val="20"/>
                <w:szCs w:val="20"/>
              </w:rPr>
            </w:pPr>
            <w:r w:rsidRPr="00D920DF">
              <w:rPr>
                <w:sz w:val="20"/>
                <w:szCs w:val="20"/>
              </w:rPr>
              <w:t>Yes, projects can apply for virtual inspections for applicable works with some agencies and physical inspections with other agencies such as functional checks. This hybrid approach provides project teams the flexibility to adopt the most suitable arrangements for their projects.</w:t>
            </w:r>
          </w:p>
          <w:p w14:paraId="2E5A4F12" w14:textId="6C7603C0" w:rsidR="00D920DF" w:rsidRPr="00D920DF" w:rsidRDefault="00D920DF" w:rsidP="00D920DF">
            <w:pPr>
              <w:spacing w:after="160" w:line="278" w:lineRule="auto"/>
              <w:rPr>
                <w:sz w:val="20"/>
                <w:szCs w:val="20"/>
              </w:rPr>
            </w:pPr>
            <w:r w:rsidRPr="00D920DF">
              <w:rPr>
                <w:sz w:val="20"/>
                <w:szCs w:val="20"/>
              </w:rPr>
              <w:t>Information on how project teams can prepare VI plan can be found in the WOG VI guidebook.</w:t>
            </w:r>
          </w:p>
        </w:tc>
      </w:tr>
    </w:tbl>
    <w:p w14:paraId="3D04291B" w14:textId="77777777" w:rsidR="00D920DF" w:rsidRPr="00D920DF" w:rsidRDefault="00D920DF" w:rsidP="00D920DF">
      <w:pPr>
        <w:rPr>
          <w:sz w:val="20"/>
          <w:szCs w:val="20"/>
        </w:rPr>
      </w:pPr>
    </w:p>
    <w:p w14:paraId="63A9C58D" w14:textId="77777777" w:rsidR="00D920DF" w:rsidRPr="00D920DF" w:rsidRDefault="00D920DF" w:rsidP="00D920DF">
      <w:pPr>
        <w:rPr>
          <w:sz w:val="20"/>
          <w:szCs w:val="20"/>
        </w:rPr>
      </w:pPr>
      <w:r w:rsidRPr="00D920DF">
        <w:rPr>
          <w:b/>
          <w:bCs/>
          <w:sz w:val="20"/>
          <w:szCs w:val="20"/>
        </w:rPr>
        <w:t>Q4. Can I submit the same scan to multiple agencies?</w:t>
      </w:r>
    </w:p>
    <w:tbl>
      <w:tblPr>
        <w:tblStyle w:val="TableGrid"/>
        <w:tblW w:w="0" w:type="auto"/>
        <w:tblLook w:val="06A0" w:firstRow="1" w:lastRow="0" w:firstColumn="1" w:lastColumn="0" w:noHBand="1" w:noVBand="1"/>
      </w:tblPr>
      <w:tblGrid>
        <w:gridCol w:w="9015"/>
      </w:tblGrid>
      <w:tr w:rsidR="00D920DF" w:rsidRPr="00D920DF" w14:paraId="5D5C930E" w14:textId="77777777">
        <w:trPr>
          <w:trHeight w:val="300"/>
        </w:trPr>
        <w:tc>
          <w:tcPr>
            <w:tcW w:w="9015" w:type="dxa"/>
            <w:tcBorders>
              <w:top w:val="single" w:sz="4" w:space="0" w:color="auto"/>
              <w:left w:val="single" w:sz="4" w:space="0" w:color="auto"/>
              <w:bottom w:val="single" w:sz="4" w:space="0" w:color="auto"/>
              <w:right w:val="single" w:sz="4" w:space="0" w:color="auto"/>
            </w:tcBorders>
          </w:tcPr>
          <w:p w14:paraId="15E716A6" w14:textId="067ACA4D" w:rsidR="00D920DF" w:rsidRPr="00D920DF" w:rsidRDefault="00D920DF" w:rsidP="00D920DF">
            <w:pPr>
              <w:spacing w:after="160" w:line="278" w:lineRule="auto"/>
              <w:rPr>
                <w:sz w:val="20"/>
                <w:szCs w:val="20"/>
              </w:rPr>
            </w:pPr>
            <w:r w:rsidRPr="00D920DF">
              <w:rPr>
                <w:sz w:val="20"/>
                <w:szCs w:val="20"/>
              </w:rPr>
              <w:t>Yes.  The same scan can be submitted to multiple participating agencies concurrently for compliance checks if it meets the relevant agencies requirements.</w:t>
            </w:r>
          </w:p>
        </w:tc>
      </w:tr>
    </w:tbl>
    <w:p w14:paraId="793AA462" w14:textId="77777777" w:rsidR="00D920DF" w:rsidRPr="00D920DF" w:rsidRDefault="00D920DF" w:rsidP="00D920DF">
      <w:pPr>
        <w:rPr>
          <w:sz w:val="20"/>
          <w:szCs w:val="20"/>
        </w:rPr>
      </w:pPr>
    </w:p>
    <w:p w14:paraId="59C14680" w14:textId="77777777" w:rsidR="00D920DF" w:rsidRPr="00D920DF" w:rsidRDefault="00D920DF" w:rsidP="00D920DF">
      <w:pPr>
        <w:rPr>
          <w:sz w:val="20"/>
          <w:szCs w:val="20"/>
        </w:rPr>
      </w:pPr>
      <w:r w:rsidRPr="00D920DF">
        <w:rPr>
          <w:b/>
          <w:bCs/>
          <w:sz w:val="20"/>
          <w:szCs w:val="20"/>
        </w:rPr>
        <w:t xml:space="preserve">Q5. What do I need to get ready </w:t>
      </w:r>
      <w:proofErr w:type="gramStart"/>
      <w:r w:rsidRPr="00D920DF">
        <w:rPr>
          <w:b/>
          <w:bCs/>
          <w:sz w:val="20"/>
          <w:szCs w:val="20"/>
        </w:rPr>
        <w:t>in order to</w:t>
      </w:r>
      <w:proofErr w:type="gramEnd"/>
      <w:r w:rsidRPr="00D920DF">
        <w:rPr>
          <w:b/>
          <w:bCs/>
          <w:sz w:val="20"/>
          <w:szCs w:val="20"/>
        </w:rPr>
        <w:t xml:space="preserve"> apply?</w:t>
      </w:r>
    </w:p>
    <w:tbl>
      <w:tblPr>
        <w:tblStyle w:val="TableGrid"/>
        <w:tblW w:w="0" w:type="auto"/>
        <w:tblLook w:val="06A0" w:firstRow="1" w:lastRow="0" w:firstColumn="1" w:lastColumn="0" w:noHBand="1" w:noVBand="1"/>
      </w:tblPr>
      <w:tblGrid>
        <w:gridCol w:w="9015"/>
      </w:tblGrid>
      <w:tr w:rsidR="00D920DF" w:rsidRPr="00D920DF" w14:paraId="03B82FD1" w14:textId="77777777">
        <w:trPr>
          <w:trHeight w:val="300"/>
        </w:trPr>
        <w:tc>
          <w:tcPr>
            <w:tcW w:w="9015" w:type="dxa"/>
            <w:tcBorders>
              <w:top w:val="single" w:sz="4" w:space="0" w:color="auto"/>
              <w:left w:val="single" w:sz="4" w:space="0" w:color="auto"/>
              <w:bottom w:val="single" w:sz="4" w:space="0" w:color="auto"/>
              <w:right w:val="single" w:sz="4" w:space="0" w:color="auto"/>
            </w:tcBorders>
          </w:tcPr>
          <w:p w14:paraId="1C3DA38E" w14:textId="2FAF8EAA" w:rsidR="00D920DF" w:rsidRPr="00D920DF" w:rsidRDefault="00D920DF" w:rsidP="00D920DF">
            <w:pPr>
              <w:spacing w:after="160" w:line="278" w:lineRule="auto"/>
              <w:rPr>
                <w:sz w:val="20"/>
                <w:szCs w:val="20"/>
              </w:rPr>
            </w:pPr>
            <w:r w:rsidRPr="00D920DF">
              <w:rPr>
                <w:sz w:val="20"/>
                <w:szCs w:val="20"/>
              </w:rPr>
              <w:t>Project teams are advised to take reference from the WOG VI Guidebook to fill in the VI plan and templates provided. Project teams should also plan ahead how they prefer to split their projects into the different phases for inspection, which floors to provide scans and photos for, the submission timeline of their scans, as well as the expected date of the physical inspections by agencies for checks that cannot be covered by virtual inspections.</w:t>
            </w:r>
          </w:p>
        </w:tc>
      </w:tr>
    </w:tbl>
    <w:p w14:paraId="4C0F255D" w14:textId="77777777" w:rsidR="00D920DF" w:rsidRDefault="00D920DF" w:rsidP="00D920DF">
      <w:pPr>
        <w:rPr>
          <w:sz w:val="20"/>
          <w:szCs w:val="20"/>
        </w:rPr>
      </w:pPr>
    </w:p>
    <w:p w14:paraId="5B032DCD" w14:textId="77777777" w:rsidR="00D920DF" w:rsidRPr="00D920DF" w:rsidRDefault="00D920DF" w:rsidP="00D920DF">
      <w:pPr>
        <w:rPr>
          <w:sz w:val="20"/>
          <w:szCs w:val="20"/>
        </w:rPr>
      </w:pPr>
    </w:p>
    <w:p w14:paraId="7C1942B7" w14:textId="77777777" w:rsidR="00D920DF" w:rsidRPr="00D920DF" w:rsidRDefault="00D920DF" w:rsidP="00D920DF">
      <w:pPr>
        <w:rPr>
          <w:sz w:val="20"/>
          <w:szCs w:val="20"/>
        </w:rPr>
      </w:pPr>
      <w:r w:rsidRPr="00D920DF">
        <w:rPr>
          <w:b/>
          <w:bCs/>
          <w:sz w:val="20"/>
          <w:szCs w:val="20"/>
        </w:rPr>
        <w:t>Q6. What happens if the virtual scan is insufficient or does not meet an agency's requirements? Will a physical inspection be required?</w:t>
      </w:r>
    </w:p>
    <w:tbl>
      <w:tblPr>
        <w:tblStyle w:val="TableGrid"/>
        <w:tblW w:w="0" w:type="auto"/>
        <w:tblLook w:val="06A0" w:firstRow="1" w:lastRow="0" w:firstColumn="1" w:lastColumn="0" w:noHBand="1" w:noVBand="1"/>
      </w:tblPr>
      <w:tblGrid>
        <w:gridCol w:w="9015"/>
      </w:tblGrid>
      <w:tr w:rsidR="00D920DF" w:rsidRPr="00D920DF" w14:paraId="4087FF52" w14:textId="77777777">
        <w:trPr>
          <w:trHeight w:val="300"/>
        </w:trPr>
        <w:tc>
          <w:tcPr>
            <w:tcW w:w="9015" w:type="dxa"/>
            <w:tcBorders>
              <w:top w:val="single" w:sz="4" w:space="0" w:color="auto"/>
              <w:left w:val="single" w:sz="4" w:space="0" w:color="auto"/>
              <w:bottom w:val="single" w:sz="4" w:space="0" w:color="auto"/>
              <w:right w:val="single" w:sz="4" w:space="0" w:color="auto"/>
            </w:tcBorders>
          </w:tcPr>
          <w:p w14:paraId="490060D7" w14:textId="7D00ED6A" w:rsidR="00D920DF" w:rsidRPr="00D920DF" w:rsidRDefault="00D920DF" w:rsidP="00D920DF">
            <w:pPr>
              <w:spacing w:after="160" w:line="278" w:lineRule="auto"/>
              <w:rPr>
                <w:sz w:val="20"/>
                <w:szCs w:val="20"/>
              </w:rPr>
            </w:pPr>
            <w:r w:rsidRPr="00D920DF">
              <w:rPr>
                <w:sz w:val="20"/>
                <w:szCs w:val="20"/>
              </w:rPr>
              <w:lastRenderedPageBreak/>
              <w:t xml:space="preserve">For situations where the submitted virtual scans do not provide sufficient information for an agency to complete its assessment, the project team may be asked to rescan the affected area and submit additional scans or images. </w:t>
            </w:r>
          </w:p>
          <w:p w14:paraId="63EE1AD3" w14:textId="27A0FDA9" w:rsidR="00D920DF" w:rsidRPr="00D920DF" w:rsidRDefault="00D920DF" w:rsidP="00D920DF">
            <w:pPr>
              <w:spacing w:after="160" w:line="278" w:lineRule="auto"/>
              <w:rPr>
                <w:sz w:val="20"/>
                <w:szCs w:val="20"/>
              </w:rPr>
            </w:pPr>
            <w:r w:rsidRPr="00D920DF">
              <w:rPr>
                <w:sz w:val="20"/>
                <w:szCs w:val="20"/>
              </w:rPr>
              <w:t xml:space="preserve">If the additional virtual submissions do not meet requirements, the agency may request a physical inspection of the relevant area to complete their assessment. </w:t>
            </w:r>
          </w:p>
        </w:tc>
      </w:tr>
    </w:tbl>
    <w:p w14:paraId="3C5AD17E" w14:textId="77777777" w:rsidR="00D920DF" w:rsidRPr="00D920DF" w:rsidRDefault="00D920DF" w:rsidP="00D920DF">
      <w:pPr>
        <w:rPr>
          <w:sz w:val="20"/>
          <w:szCs w:val="20"/>
        </w:rPr>
      </w:pPr>
    </w:p>
    <w:p w14:paraId="0323AD69" w14:textId="77777777" w:rsidR="00D920DF" w:rsidRPr="00D920DF" w:rsidRDefault="00D920DF" w:rsidP="00D920DF">
      <w:pPr>
        <w:rPr>
          <w:b/>
          <w:bCs/>
          <w:sz w:val="20"/>
          <w:szCs w:val="20"/>
        </w:rPr>
      </w:pPr>
    </w:p>
    <w:p w14:paraId="7079D907" w14:textId="77777777" w:rsidR="00D920DF" w:rsidRPr="00D920DF" w:rsidRDefault="00D920DF" w:rsidP="00D920DF">
      <w:pPr>
        <w:rPr>
          <w:sz w:val="20"/>
          <w:szCs w:val="20"/>
        </w:rPr>
      </w:pPr>
    </w:p>
    <w:sectPr w:rsidR="00D920DF" w:rsidRPr="00D920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97BB2"/>
    <w:multiLevelType w:val="hybridMultilevel"/>
    <w:tmpl w:val="FDC4F6C6"/>
    <w:lvl w:ilvl="0" w:tplc="49DE28D6">
      <w:start w:val="1"/>
      <w:numFmt w:val="decimal"/>
      <w:lvlText w:val="%1."/>
      <w:lvlJc w:val="left"/>
      <w:pPr>
        <w:ind w:left="720" w:hanging="360"/>
      </w:pPr>
      <w:rPr>
        <w:rFonts w:hint="default"/>
        <w:b/>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658D2E41"/>
    <w:multiLevelType w:val="hybridMultilevel"/>
    <w:tmpl w:val="7340F48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759326312">
    <w:abstractNumId w:val="1"/>
  </w:num>
  <w:num w:numId="2" w16cid:durableId="1767069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0DF"/>
    <w:rsid w:val="00085998"/>
    <w:rsid w:val="001A63CC"/>
    <w:rsid w:val="00214B82"/>
    <w:rsid w:val="00484FA5"/>
    <w:rsid w:val="004C22B8"/>
    <w:rsid w:val="0054623A"/>
    <w:rsid w:val="00684CE8"/>
    <w:rsid w:val="00D920DF"/>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17FBE"/>
  <w15:chartTrackingRefBased/>
  <w15:docId w15:val="{8D3694C7-CAF3-4529-959E-D77A42D74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20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20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20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20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20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20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20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20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20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0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20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20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20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20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20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20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20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20DF"/>
    <w:rPr>
      <w:rFonts w:eastAsiaTheme="majorEastAsia" w:cstheme="majorBidi"/>
      <w:color w:val="272727" w:themeColor="text1" w:themeTint="D8"/>
    </w:rPr>
  </w:style>
  <w:style w:type="paragraph" w:styleId="Title">
    <w:name w:val="Title"/>
    <w:basedOn w:val="Normal"/>
    <w:next w:val="Normal"/>
    <w:link w:val="TitleChar"/>
    <w:uiPriority w:val="10"/>
    <w:qFormat/>
    <w:rsid w:val="00D920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20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0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20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20DF"/>
    <w:pPr>
      <w:spacing w:before="160"/>
      <w:jc w:val="center"/>
    </w:pPr>
    <w:rPr>
      <w:i/>
      <w:iCs/>
      <w:color w:val="404040" w:themeColor="text1" w:themeTint="BF"/>
    </w:rPr>
  </w:style>
  <w:style w:type="character" w:customStyle="1" w:styleId="QuoteChar">
    <w:name w:val="Quote Char"/>
    <w:basedOn w:val="DefaultParagraphFont"/>
    <w:link w:val="Quote"/>
    <w:uiPriority w:val="29"/>
    <w:rsid w:val="00D920DF"/>
    <w:rPr>
      <w:i/>
      <w:iCs/>
      <w:color w:val="404040" w:themeColor="text1" w:themeTint="BF"/>
    </w:rPr>
  </w:style>
  <w:style w:type="paragraph" w:styleId="ListParagraph">
    <w:name w:val="List Paragraph"/>
    <w:basedOn w:val="Normal"/>
    <w:uiPriority w:val="34"/>
    <w:qFormat/>
    <w:rsid w:val="00D920DF"/>
    <w:pPr>
      <w:ind w:left="720"/>
      <w:contextualSpacing/>
    </w:pPr>
  </w:style>
  <w:style w:type="character" w:styleId="IntenseEmphasis">
    <w:name w:val="Intense Emphasis"/>
    <w:basedOn w:val="DefaultParagraphFont"/>
    <w:uiPriority w:val="21"/>
    <w:qFormat/>
    <w:rsid w:val="00D920DF"/>
    <w:rPr>
      <w:i/>
      <w:iCs/>
      <w:color w:val="0F4761" w:themeColor="accent1" w:themeShade="BF"/>
    </w:rPr>
  </w:style>
  <w:style w:type="paragraph" w:styleId="IntenseQuote">
    <w:name w:val="Intense Quote"/>
    <w:basedOn w:val="Normal"/>
    <w:next w:val="Normal"/>
    <w:link w:val="IntenseQuoteChar"/>
    <w:uiPriority w:val="30"/>
    <w:qFormat/>
    <w:rsid w:val="00D920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20DF"/>
    <w:rPr>
      <w:i/>
      <w:iCs/>
      <w:color w:val="0F4761" w:themeColor="accent1" w:themeShade="BF"/>
    </w:rPr>
  </w:style>
  <w:style w:type="character" w:styleId="IntenseReference">
    <w:name w:val="Intense Reference"/>
    <w:basedOn w:val="DefaultParagraphFont"/>
    <w:uiPriority w:val="32"/>
    <w:qFormat/>
    <w:rsid w:val="00D920DF"/>
    <w:rPr>
      <w:b/>
      <w:bCs/>
      <w:smallCaps/>
      <w:color w:val="0F4761" w:themeColor="accent1" w:themeShade="BF"/>
      <w:spacing w:val="5"/>
    </w:rPr>
  </w:style>
  <w:style w:type="character" w:styleId="Hyperlink">
    <w:name w:val="Hyperlink"/>
    <w:basedOn w:val="DefaultParagraphFont"/>
    <w:uiPriority w:val="99"/>
    <w:unhideWhenUsed/>
    <w:rsid w:val="00D920DF"/>
    <w:rPr>
      <w:color w:val="467886"/>
      <w:u w:val="single"/>
    </w:rPr>
  </w:style>
  <w:style w:type="table" w:styleId="TableGrid">
    <w:name w:val="Table Grid"/>
    <w:basedOn w:val="TableNormal"/>
    <w:uiPriority w:val="39"/>
    <w:rsid w:val="00D92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920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o.gov.sg/wogv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Benny LAU (BCA)</dc:creator>
  <cp:keywords/>
  <dc:description/>
  <cp:lastModifiedBy>Benny LAU (BCA)</cp:lastModifiedBy>
  <cp:revision>3</cp:revision>
  <dcterms:created xsi:type="dcterms:W3CDTF">2026-08-28T08:17:00Z</dcterms:created>
  <dcterms:modified xsi:type="dcterms:W3CDTF">2026-08-31T08:31:00Z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aa7e78-45b1-4890-b8a3-003d1d728a3e_Enabled">
    <vt:lpwstr>true</vt:lpwstr>
  </property>
  <property fmtid="{D5CDD505-2E9C-101B-9397-08002B2CF9AE}" pid="3" name="MSIP_Label_4aaa7e78-45b1-4890-b8a3-003d1d728a3e_SetDate">
    <vt:lpwstr>2026-08-28T08:28:24Z</vt:lpwstr>
  </property>
  <property fmtid="{D5CDD505-2E9C-101B-9397-08002B2CF9AE}" pid="4" name="MSIP_Label_4aaa7e78-45b1-4890-b8a3-003d1d728a3e_Method">
    <vt:lpwstr>Privileged</vt:lpwstr>
  </property>
  <property fmtid="{D5CDD505-2E9C-101B-9397-08002B2CF9AE}" pid="5" name="MSIP_Label_4aaa7e78-45b1-4890-b8a3-003d1d728a3e_Name">
    <vt:lpwstr>Non Sensitive</vt:lpwstr>
  </property>
  <property fmtid="{D5CDD505-2E9C-101B-9397-08002B2CF9AE}" pid="6" name="MSIP_Label_4aaa7e78-45b1-4890-b8a3-003d1d728a3e_SiteId">
    <vt:lpwstr>0b11c524-9a1c-4e1b-84cb-6336aefc2243</vt:lpwstr>
  </property>
  <property fmtid="{D5CDD505-2E9C-101B-9397-08002B2CF9AE}" pid="7" name="MSIP_Label_4aaa7e78-45b1-4890-b8a3-003d1d728a3e_ActionId">
    <vt:lpwstr>972984cf-843a-4c1b-9764-51be2d4685a8</vt:lpwstr>
  </property>
  <property fmtid="{D5CDD505-2E9C-101B-9397-08002B2CF9AE}" pid="8" name="MSIP_Label_4aaa7e78-45b1-4890-b8a3-003d1d728a3e_ContentBits">
    <vt:lpwstr>0</vt:lpwstr>
  </property>
  <property fmtid="{D5CDD505-2E9C-101B-9397-08002B2CF9AE}" pid="9" name="MSIP_Label_4aaa7e78-45b1-4890-b8a3-003d1d728a3e_Tag">
    <vt:lpwstr>10, 0, 1, 1</vt:lpwstr>
  </property>
</Properties>
</file>